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P68B1DB1-Title1"/>
      </w:pPr>
      <w:r>
        <w:t>公司简介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2"/>
      </w:pPr>
      <w:r>
        <w:t>致命性合规</w:t>
      </w:r>
      <w:r>
        <w:rPr>
          <w:spacing w:val="-2"/>
        </w:rPr>
        <w:t>系统</w:t>
      </w:r>
    </w:p>
    <w:p>
      <w:pPr>
        <w:pStyle w:val="BodyText"/>
        <w:rPr>
          <w:sz w:val="36"/>
        </w:rPr>
      </w:pPr>
    </w:p>
    <w:p>
      <w:pPr>
        <w:pStyle w:val="BodyText"/>
        <w:spacing w:before="267"/>
        <w:rPr>
          <w:sz w:val="36"/>
        </w:rPr>
      </w:pPr>
    </w:p>
    <w:p>
      <w:pPr>
        <w:pStyle w:val="P68B1DB1-BodyText3"/>
        <w:spacing w:line="276" w:lineRule="auto"/>
        <w:ind w:left="120" w:right="3711"/>
      </w:pPr>
      <w:r>
        <w:t xml:space="preserve">LCS 140是一款数据记录仪，具有完整的湿球/干球系统，允许用户在普通湿度传感器不适用的高温应用中记录湿度</w:t>
      </w:r>
      <w:r>
        <w:t xml:space="preserve">LCS140摒弃了使用心理测量仪进行计算的复杂性，支持易于使用的MadgeTech 4软件。</w:t>
      </w:r>
    </w:p>
    <w:p>
      <w:pPr>
        <w:pStyle w:val="P68B1DB1-BodyText3"/>
        <w:spacing w:line="276" w:lineRule="auto" w:before="87"/>
        <w:ind w:left="120" w:right="3711"/>
      </w:pPr>
      <w:r>
        <w:rPr>
          <w:spacing w:val="-2"/>
        </w:rPr>
        <w:t>双</w:t>
      </w:r>
      <w:r>
        <w:t xml:space="preserve">探头LCS 140</w:t>
      </w:r>
      <w:r>
        <w:rPr>
          <w:spacing w:val="-2"/>
        </w:rPr>
        <w:t>能够</w:t>
      </w:r>
      <w:r>
        <w:rPr>
          <w:spacing w:val="-2"/>
        </w:rPr>
        <w:t>承受</w:t>
      </w:r>
      <w:r>
        <w:rPr>
          <w:spacing w:val="-2"/>
        </w:rPr>
        <w:t>-40</w:t>
      </w:r>
      <w:r>
        <w:rPr>
          <w:spacing w:val="-2"/>
        </w:rPr>
        <w:t>°C</w:t>
      </w:r>
      <w:r>
        <w:rPr>
          <w:spacing w:val="-2"/>
        </w:rPr>
        <w:t>至</w:t>
      </w:r>
      <w:r>
        <w:rPr>
          <w:spacing w:val="-2"/>
        </w:rPr>
        <w:t>+140</w:t>
      </w:r>
      <w:r>
        <w:rPr>
          <w:spacing w:val="-2"/>
        </w:rPr>
        <w:t>°C</w:t>
      </w:r>
      <w:r>
        <w:rPr>
          <w:spacing w:val="-2"/>
        </w:rPr>
        <w:t>（-40</w:t>
      </w:r>
      <w:r>
        <w:rPr>
          <w:spacing w:val="-2"/>
        </w:rPr>
        <w:t>°F</w:t>
      </w:r>
      <w:r>
        <w:rPr>
          <w:spacing w:val="-2"/>
        </w:rPr>
        <w:t>至</w:t>
      </w:r>
      <w:r>
        <w:rPr>
          <w:spacing w:val="-2"/>
        </w:rPr>
        <w:t>+284</w:t>
      </w:r>
      <w:r>
        <w:rPr>
          <w:spacing w:val="-2"/>
        </w:rPr>
        <w:t>°F）</w:t>
      </w:r>
      <w:r>
        <w:rPr>
          <w:spacing w:val="-2"/>
        </w:rPr>
        <w:t>的</w:t>
      </w:r>
      <w:r>
        <w:rPr>
          <w:spacing w:val="-2"/>
        </w:rPr>
        <w:t>温度</w:t>
      </w:r>
      <w:r>
        <w:t>，同时读取湿球和干球读数</w:t>
      </w:r>
      <w:r>
        <w:rPr>
          <w:spacing w:val="-2"/>
        </w:rPr>
        <w:t>，</w:t>
      </w:r>
    </w:p>
    <w:p>
      <w:pPr>
        <w:pStyle w:val="P68B1DB1-BodyText3"/>
        <w:spacing w:before="88"/>
        <w:ind w:left="120"/>
      </w:pPr>
      <w:r>
        <w:t>LCS140</w:t>
      </w:r>
      <w:r>
        <w:rPr>
          <w:spacing w:val="-2"/>
        </w:rPr>
        <w:t>包括：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126" w:after="0"/>
        <w:ind w:left="299" w:right="0" w:hanging="179"/>
        <w:jc w:val="left"/>
        <w:rPr>
          <w:sz w:val="20"/>
        </w:rPr>
      </w:pPr>
      <w:r>
        <w:t>LCS140双探头数据</w:t>
      </w:r>
      <w:r>
        <w:rPr>
          <w:spacing w:val="-2"/>
        </w:rPr>
        <w:t>记录仪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储液瓶（建议仅使用蒸馏水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湿球袜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rPr>
          <w:spacing w:val="-2"/>
        </w:rPr>
        <w:t>挂具</w:t>
      </w:r>
    </w:p>
    <w:p>
      <w:pPr>
        <w:pStyle w:val="P68B1DB1-BodyText3"/>
        <w:spacing w:line="276" w:lineRule="auto" w:before="126"/>
        <w:ind w:left="120" w:right="3711"/>
      </w:pPr>
      <w:r>
        <w:t xml:space="preserve">LCS140与最新的MadgeTech 4软件兼容，使启动、停止和下载变得简单而容易。</w:t>
      </w:r>
      <w:r>
        <w:t>提供图形、表格和汇总数据</w:t>
      </w:r>
    </w:p>
    <w:p>
      <w:pPr>
        <w:pStyle w:val="BodyText"/>
        <w:spacing w:before="79"/>
      </w:pPr>
    </w:p>
    <w:p>
      <w:pPr>
        <w:spacing w:before="0"/>
        <w:ind w:left="105" w:right="0" w:firstLine="0"/>
        <w:jc w:val="left"/>
        <w:rPr>
          <w:rFonts w:ascii="Tahoma"/>
          <w:sz w:val="28"/>
        </w:rPr>
        <w:pStyle w:val="P68B1DB1-Normal5"/>
      </w:pPr>
      <w:r>
        <w:rPr>
          <w:spacing w:val="-4"/>
        </w:rPr>
        <w:t xml:space="preserve">MadgeTech 4软件功能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5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1360" w:bottom="280" w:left="600" w:right="6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3"/>
        <w:rPr>
          <w:rFonts w:ascii="Tahoma"/>
        </w:rPr>
      </w:pP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6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line="240" w:lineRule="auto" w:before="0"/>
        <w:rPr>
          <w:sz w:val="19"/>
        </w:rPr>
      </w:pPr>
      <w:r>
        <w:br w:type="column"/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27"/>
        <w:rPr>
          <w:sz w:val="19"/>
        </w:rPr>
      </w:pPr>
    </w:p>
    <w:p>
      <w:pPr>
        <w:spacing w:before="0"/>
        <w:ind w:left="120" w:right="0" w:firstLine="0"/>
        <w:jc w:val="left"/>
        <w:rPr>
          <w:rFonts w:ascii="Tahoma"/>
          <w:sz w:val="19"/>
        </w:rPr>
        <w:pStyle w:val="P68B1DB1-Normal7"/>
      </w:pPr>
      <w:r>
        <w:t>图表</w:t>
      </w:r>
      <w:r>
        <w:rPr>
          <w:spacing w:val="-4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4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4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4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4"/>
        <w:numPr>
          <w:ilvl w:val="1"/>
          <w:numId w:val="1"/>
        </w:numPr>
        <w:tabs>
          <w:tab w:pos="1086" w:val="left" w:leader="none"/>
        </w:tabs>
        <w:spacing w:line="241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0"/>
        <w:rPr>
          <w:sz w:val="19"/>
        </w:rPr>
      </w:pPr>
      <w:r>
        <w:br w:type="column"/>
      </w:r>
    </w:p>
    <w:p>
      <w:pPr>
        <w:pStyle w:val="BodyText"/>
        <w:spacing w:before="217"/>
        <w:rPr>
          <w:sz w:val="19"/>
        </w:rPr>
      </w:pPr>
    </w:p>
    <w:p>
      <w:pPr>
        <w:spacing w:before="0"/>
        <w:ind w:left="79" w:right="0" w:firstLine="0"/>
        <w:jc w:val="center"/>
        <w:rPr>
          <w:rFonts w:ascii="Tahoma"/>
          <w:sz w:val="19"/>
        </w:rPr>
        <w:pStyle w:val="P68B1DB1-Normal7"/>
      </w:pPr>
      <w:r>
        <w:rPr>
          <w:spacing w:val="-2"/>
        </w:rPr>
        <w:t>冷却标记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4"/>
        <w:rPr>
          <w:rFonts w:ascii="Tahoma"/>
          <w:sz w:val="19"/>
        </w:rPr>
      </w:pPr>
    </w:p>
    <w:p>
      <w:pPr>
        <w:spacing w:before="0"/>
        <w:ind w:left="79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-751579</wp:posOffset>
                </wp:positionV>
                <wp:extent cx="866775" cy="73215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图5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图16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4275154</wp:posOffset>
                </wp:positionH>
                <wp:positionV relativeFrom="paragraph">
                  <wp:posOffset>-604478</wp:posOffset>
                </wp:positionV>
                <wp:extent cx="71120" cy="133350"/>
                <wp:effectExtent l="0" t="0" r="0" b="0"/>
                <wp:wrapNone/>
                <wp:docPr id="49" name="文本框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文本框49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8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spacing w:before="5"/>
        <w:rPr>
          <w:rFonts w:ascii="Tahoma"/>
          <w:sz w:val="5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4086694</wp:posOffset>
                </wp:positionH>
                <wp:positionV relativeFrom="paragraph">
                  <wp:posOffset>57616</wp:posOffset>
                </wp:positionV>
                <wp:extent cx="866775" cy="732155"/>
                <wp:effectExtent l="0" t="0" r="0" b="0"/>
                <wp:wrapTopAndBottom/>
                <wp:docPr id="50" name="组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组50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图形52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23"/>
        <w:ind w:left="79" w:right="0" w:firstLine="0"/>
        <w:jc w:val="center"/>
        <w:rPr>
          <w:rFonts w:ascii="Tahoma"/>
          <w:sz w:val="19"/>
        </w:rPr>
        <w:pStyle w:val="P68B1DB1-Normal7"/>
      </w:pPr>
      <w:r>
        <w:t>表格数据</w:t>
      </w:r>
      <w:r>
        <w:rPr>
          <w:spacing w:val="-4"/>
        </w:rPr>
        <w:t>视图</w:t>
      </w:r>
    </w:p>
    <w:p>
      <w:pPr>
        <w:spacing w:line="276" w:lineRule="auto" w:before="101"/>
        <w:ind w:left="120" w:right="22" w:firstLine="0"/>
        <w:jc w:val="left"/>
        <w:rPr>
          <w:i/>
          <w:sz w:val="20"/>
        </w:rPr>
      </w:pPr>
      <w:r>
        <w:br w:type="column"/>
      </w:r>
      <w:r>
        <w:rPr>
          <w:b/>
          <w:i/>
          <w:color w:val="231F20"/>
          <w:spacing w:val="-4"/>
          <w:sz w:val="20"/>
        </w:rPr>
        <w:t>注：</w:t>
      </w:r>
      <w:r>
        <w:rPr>
          <w:i/>
          <w:color w:val="231F20"/>
          <w:spacing w:val="-4"/>
          <w:sz w:val="20"/>
        </w:rPr>
        <w:t>建议</w:t>
      </w:r>
      <w:r>
        <w:rPr>
          <w:i/>
          <w:color w:val="231F20"/>
          <w:sz w:val="20"/>
        </w:rPr>
        <w:t>储液瓶中仅使用蒸馏水。</w:t>
      </w:r>
    </w:p>
    <w:p>
      <w:pPr>
        <w:pStyle w:val="BodyText"/>
        <w:spacing w:before="131"/>
        <w:rPr>
          <w:i/>
        </w:rPr>
      </w:pPr>
    </w:p>
    <w:p>
      <w:pPr>
        <w:pStyle w:val="P68B1DB1-Heading19"/>
        <w:ind w:left="120"/>
      </w:pPr>
      <w:r>
        <w:t>特征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110" w:after="0"/>
        <w:ind w:left="299" w:right="0" w:hanging="179"/>
        <w:jc w:val="left"/>
        <w:rPr>
          <w:sz w:val="20"/>
        </w:rPr>
      </w:pPr>
      <w:r>
        <w:t>1秒读取</w:t>
      </w:r>
      <w:r>
        <w:rPr>
          <w:spacing w:val="-4"/>
        </w:rPr>
        <w:t>速率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可编程启动和停止</w:t>
      </w:r>
      <w:r>
        <w:rPr>
          <w:spacing w:val="-4"/>
        </w:rPr>
        <w:t>时间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w w:val="90"/>
        </w:rPr>
        <w:t>32，767</w:t>
      </w:r>
      <w:r>
        <w:rPr>
          <w:spacing w:val="-2"/>
        </w:rPr>
        <w:t>阅读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6"/>
        </w:rPr>
        <w:t>记忆</w:t>
      </w:r>
      <w:r>
        <w:rPr>
          <w:spacing w:val="-4"/>
        </w:rPr>
        <w:t>包装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用户可更换</w:t>
      </w:r>
      <w:r>
        <w:rPr>
          <w:spacing w:val="-2"/>
        </w:rPr>
        <w:t>电池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触发</w:t>
      </w:r>
      <w:r>
        <w:rPr>
          <w:spacing w:val="-2"/>
        </w:rPr>
        <w:t>设置</w:t>
      </w:r>
    </w:p>
    <w:p>
      <w:pPr>
        <w:pStyle w:val="P68B1DB1-ListParagraph4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可选密码</w:t>
      </w:r>
      <w:r>
        <w:rPr>
          <w:spacing w:val="-2"/>
        </w:rPr>
        <w:t>保护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600" w:right="600"/>
          <w:cols w:num="4" w:equalWidth="0">
            <w:col w:w="2133" w:space="112"/>
            <w:col w:w="3241" w:space="143"/>
            <w:col w:w="1698" w:space="113"/>
            <w:col w:w="3600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303895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7772400" cy="8303895"/>
                          <a:chExt cx="7772400" cy="8303895"/>
                        </a:xfrm>
                      </wpg:grpSpPr>
                      <wps:wsp>
                        <wps:cNvPr id="54" name="图表54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5148707" y="0"/>
                            <a:ext cx="2606040" cy="619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040" h="6194425">
                                <a:moveTo>
                                  <a:pt x="2606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4171"/>
                                </a:lnTo>
                                <a:lnTo>
                                  <a:pt x="2606040" y="6194171"/>
                                </a:lnTo>
                                <a:lnTo>
                                  <a:pt x="260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5181600" y="0"/>
                            <a:ext cx="2451735" cy="607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735" h="6071235">
                                <a:moveTo>
                                  <a:pt x="2451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1057"/>
                                </a:lnTo>
                                <a:lnTo>
                                  <a:pt x="2451379" y="6071057"/>
                                </a:lnTo>
                                <a:lnTo>
                                  <a:pt x="245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152" y="5876899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091152" y="5876899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457200" y="5386636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D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图像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96" y="5875787"/>
                            <a:ext cx="3474199" cy="2424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/>
                        <wps:cNvSpPr/>
                        <wps:spPr>
                          <a:xfrm>
                            <a:off x="451396" y="5875782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图像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6529" y="102806"/>
                            <a:ext cx="1336141" cy="596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20"/>
        </w:rPr>
        <w:t>致死率</w:t>
      </w:r>
      <w:r>
        <w:rPr>
          <w:color w:val="231F20"/>
          <w:spacing w:val="-2"/>
          <w:sz w:val="20"/>
        </w:rPr>
        <w:t>方程</w:t>
      </w:r>
      <w:r>
        <w:rPr>
          <w:color w:val="231F20"/>
          <w:spacing w:val="-2"/>
          <w:sz w:val="20"/>
        </w:rPr>
        <w:t>（F0，</w:t>
      </w:r>
      <w:r>
        <w:rPr>
          <w:color w:val="231F20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231F20"/>
          <w:sz w:val="20"/>
        </w:rPr>
        <w:t>摘要</w:t>
      </w:r>
      <w:r>
        <w:rPr>
          <w:color w:val="231F20"/>
          <w:spacing w:val="-4"/>
          <w:sz w:val="20"/>
        </w:rPr>
        <w:t>视图</w:t>
      </w:r>
    </w:p>
    <w:p>
      <w:pPr>
        <w:spacing w:line="240" w:lineRule="auto" w:before="10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-751860</wp:posOffset>
                </wp:positionV>
                <wp:extent cx="866775" cy="732155"/>
                <wp:effectExtent l="0" t="0" r="0" b="0"/>
                <wp:wrapNone/>
                <wp:docPr id="66" name="组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组66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7" name="图像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图形6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1360" w:bottom="280" w:left="600" w:right="600"/>
          <w:cols w:num="3" w:equalWidth="0">
            <w:col w:w="2548" w:space="484"/>
            <w:col w:w="1538" w:space="1337"/>
            <w:col w:w="513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69" name="组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组69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0" name="图形70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文本框71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0"/>
                              </w:pPr>
                              <w:r>
                                <w:t>公司简介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125" w:right="0" w:firstLine="0"/>
        <w:jc w:val="left"/>
        <w:rPr>
          <w:sz w:val="32"/>
        </w:rPr>
        <w:pStyle w:val="P68B1DB1-Normal11"/>
      </w:pPr>
      <w:r>
        <w:t>规格</w:t>
      </w:r>
    </w:p>
    <w:p>
      <w:pPr>
        <w:spacing w:before="53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420484</wp:posOffset>
                </wp:positionH>
                <wp:positionV relativeFrom="paragraph">
                  <wp:posOffset>1444355</wp:posOffset>
                </wp:positionV>
                <wp:extent cx="3427729" cy="3024504"/>
                <wp:effectExtent l="0" t="0" r="0" b="0"/>
                <wp:wrapNone/>
                <wp:docPr id="72" name="文本框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文本框72"/>
                      <wps:cNvSpPr txBox="1"/>
                      <wps:spPr>
                        <a:xfrm>
                          <a:off x="0" y="0"/>
                          <a:ext cx="3427729" cy="3024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D80AD"/>
                                </w:tcPr>
                                <w:p>
                                  <w:pPr>
                                    <w:pStyle w:val="P68B1DB1-TableParagraph12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软件可编程立即启动或延迟</w:t>
                                  </w:r>
                                  <w:r>
                                    <w:t>启动最多提前18个月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手动或定时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（特定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日期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和时间）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32，767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t>可将可选密码编程到设备中，以限制对配置选项的访问。</w:t>
                                  </w:r>
                                  <w:r>
                                    <w:t>可以使用密码读取数据。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ind w:left="79" w:right="2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触发设置模式下的读数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16，383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次阅读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3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触发设置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235"/>
                                    <w:rPr>
                                      <w:sz w:val="16"/>
                                    </w:rPr>
                                  </w:pPr>
                                  <w:r>
                                    <w:t>可以设置上限和下限</w:t>
                                  </w:r>
                                  <w:r>
                                    <w:t>一旦数据达到或超过设定的限制，设备将记录到内存中。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还</w:t>
                                  </w:r>
                                  <w:r>
                                    <w:t>可以对双电平</w:t>
                                  </w:r>
                                  <w:r>
                                    <w:t>启动</w:t>
                                  </w:r>
                                  <w:r>
                                    <w:t>和</w:t>
                                  </w:r>
                                  <w:r>
                                    <w:t>停止</w:t>
                                  </w:r>
                                  <w:r>
                                    <w:t>触发器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进行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编程。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可以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指定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line="244" w:lineRule="auto" w:before="3"/>
                                    <w:ind w:right="6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装置触发后的读数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（</w:t>
                                  </w:r>
                                  <w:r>
                                    <w:rPr>
                                      <w:i/>
                                    </w:rPr>
                                    <w:t>仅在通道#1上触发）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5D80AD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4"/>
        <w:rPr>
          <w:sz w:val="1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458584</wp:posOffset>
                </wp:positionH>
                <wp:positionV relativeFrom="paragraph">
                  <wp:posOffset>149636</wp:posOffset>
                </wp:positionV>
                <wp:extent cx="3351529" cy="958215"/>
                <wp:effectExtent l="0" t="0" r="0" b="0"/>
                <wp:wrapTopAndBottom/>
                <wp:docPr id="73" name="文本框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文本框73"/>
                      <wps:cNvSpPr txBox="1"/>
                      <wps:spPr>
                        <a:xfrm>
                          <a:off x="0" y="0"/>
                          <a:ext cx="3351529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D80AD"/>
                                </w:tcPr>
                                <w:p>
                                  <w:pPr>
                                    <w:pStyle w:val="P68B1DB1-TableParagraph19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t>刚性RTD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°C至+140 °C（-40 °F至+284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0.01 °C（0.02 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±0.1 °C（±0.18 °F）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3963085</wp:posOffset>
                </wp:positionH>
                <wp:positionV relativeFrom="paragraph">
                  <wp:posOffset>151224</wp:posOffset>
                </wp:positionV>
                <wp:extent cx="3351529" cy="3690620"/>
                <wp:effectExtent l="0" t="0" r="0" b="0"/>
                <wp:wrapTopAndBottom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351529" cy="3690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内置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3.6V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高温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>;用户可更换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1年典型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（25 °C/77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时的1分钟读取速率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日期和时间戳°C，°F，°R，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LCS140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记录仪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0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>IP68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3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1分钟/月，25 °C（77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line="244" w:lineRule="auto" w:before="5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延长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工作时间：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±20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  <w:r>
                                    <w:t xml:space="preserve">（±450 ppm）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需要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IFC 400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IFC 406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扩展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坞</w:t>
                                  </w:r>
                                  <w:r>
                                    <w:t>;125，000波特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ind w:left="79" w:right="2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7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4.2.19.0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安全软件版本4.2.18.0或更高版本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 w:right="2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°C至+140 °C（-40 °F至+284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0% RH至100% RH，0.002 PSIA至100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13.25英寸x 1.75英寸x 1.2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(337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（44毫米x30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6.3盎司（178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316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不锈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Radel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44" w:lineRule="auto" w:before="173"/>
        <w:ind w:left="5641" w:right="23" w:firstLine="0"/>
        <w:jc w:val="left"/>
        <w:rPr>
          <w:sz w:val="16"/>
        </w:rPr>
        <w:pStyle w:val="P68B1DB1-Normal22"/>
      </w:pPr>
      <w:r>
        <w:rPr>
          <w:color w:val="E12726"/>
        </w:rPr>
        <w:t>电池损坏：</w:t>
      </w:r>
      <w:r>
        <w:rPr>
          <w:color w:val="231F20"/>
        </w:rPr>
        <w:t>火灾、爆炸和严重烧伤危险。不得</w:t>
      </w:r>
      <w:r>
        <w:rPr>
          <w:color w:val="231F20"/>
        </w:rPr>
        <w:t>短路、充电、强行排放、压碎、穿透或</w:t>
      </w:r>
      <w:r>
        <w:rPr>
          <w:color w:val="231F20"/>
          <w:spacing w:val="-4"/>
        </w:rPr>
        <w:t>焚烧。如果加热到150ºC（302ºF）以上，电池可能会泄漏或爆炸。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59"/>
        <w:rPr>
          <w:sz w:val="26"/>
        </w:rPr>
      </w:pPr>
    </w:p>
    <w:p>
      <w:pPr>
        <w:pStyle w:val="P68B1DB1-Heading123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>公司简介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902168-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t>致命性合规</w:t>
            </w:r>
            <w:r>
              <w:rPr>
                <w:spacing w:val="-2"/>
              </w:rPr>
              <w:t>系统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 xml:space="preserve">IFC 400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900319-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t>带USB</w:t>
            </w:r>
            <w:r>
              <w:rPr>
                <w:spacing w:val="-2"/>
              </w:rPr>
              <w:t>电缆</w:t>
            </w:r>
            <w:r>
              <w:t>的扩展坞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 xml:space="preserve">IFC 406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900325-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2"/>
              </w:rPr>
              <w:t>6端口，带USB电缆的多路复用器扩展坞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b/>
                <w:sz w:val="16"/>
              </w:rPr>
            </w:pPr>
            <w:r>
              <w:t>LCS140数据记录仪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902229-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仅</w:t>
            </w:r>
            <w:r>
              <w:t>限LCS140数据记录仪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3"/>
              <w:spacing w:before="70"/>
              <w:rPr>
                <w:b/>
                <w:sz w:val="16"/>
              </w:rPr>
            </w:pPr>
            <w:r>
              <w:t>LCS140悬挂</w:t>
            </w:r>
            <w:r>
              <w:rPr>
                <w:spacing w:val="-2"/>
              </w:rPr>
              <w:t>夹具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902230-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仅</w:t>
            </w:r>
            <w:r>
              <w:rPr>
                <w:spacing w:val="-2"/>
              </w:rPr>
              <w:t xml:space="preserve">限LCS 140悬挂夹具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3"/>
              <w:spacing w:before="70"/>
              <w:rPr>
                <w:b/>
                <w:sz w:val="16"/>
              </w:rPr>
            </w:pPr>
            <w:r>
              <w:t>LCS140</w:t>
            </w:r>
            <w:r>
              <w:rPr>
                <w:spacing w:val="-2"/>
              </w:rPr>
              <w:t>瓶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902231-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2"/>
              </w:rPr>
              <w:t>LCS140拉丝铝瓶4</w:t>
            </w:r>
            <w:r>
              <w:rPr>
                <w:spacing w:val="-5"/>
              </w:rPr>
              <w:t>盎司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3"/>
              <w:spacing w:before="70"/>
              <w:rPr>
                <w:b/>
                <w:sz w:val="16"/>
              </w:rPr>
            </w:pPr>
            <w:r>
              <w:t>LCS140大</w:t>
            </w:r>
            <w:r>
              <w:rPr>
                <w:spacing w:val="-2"/>
              </w:rPr>
              <w:t>瓶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902308-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2"/>
              </w:rPr>
              <w:t>LCS140拉丝铝瓶8</w:t>
            </w:r>
            <w:r>
              <w:rPr>
                <w:spacing w:val="-5"/>
              </w:rPr>
              <w:t>盎司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3"/>
              <w:spacing w:before="70"/>
              <w:rPr>
                <w:b/>
                <w:sz w:val="16"/>
              </w:rPr>
            </w:pPr>
            <w:r>
              <w:t>LCS140额外</w:t>
            </w:r>
            <w:r>
              <w:rPr>
                <w:spacing w:val="-4"/>
              </w:rPr>
              <w:t>袜子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902232-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t>LCS140额外袜子（6</w:t>
            </w:r>
            <w:r>
              <w:rPr>
                <w:spacing w:val="-2"/>
              </w:rPr>
              <w:t>件装）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5"/>
              <w:spacing w:before="70"/>
              <w:rPr>
                <w:b/>
                <w:sz w:val="16"/>
              </w:rPr>
            </w:pPr>
            <w:r>
              <w:rPr>
                <w:spacing w:val="-2"/>
              </w:rPr>
              <w:t>ER14250MR-</w:t>
            </w:r>
            <w:r>
              <w:rPr>
                <w:spacing w:val="-5"/>
              </w:rPr>
              <w:t>145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900097-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rPr>
                <w:spacing w:val="-2"/>
              </w:rPr>
              <w:t>LCS140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记录仪</w:t>
            </w:r>
            <w:r>
              <w:rPr>
                <w:spacing w:val="-2"/>
              </w:rPr>
              <w:t>的</w:t>
            </w:r>
            <w:r>
              <w:rPr>
                <w:spacing w:val="-2"/>
              </w:rPr>
              <w:t>更换</w:t>
            </w:r>
            <w:r>
              <w:rPr>
                <w:spacing w:val="-2"/>
              </w:rPr>
              <w:t>电池</w:t>
            </w:r>
          </w:p>
        </w:tc>
      </w:tr>
    </w:tbl>
    <w:p>
      <w:pPr>
        <w:spacing w:before="239"/>
        <w:ind w:left="120" w:right="0" w:firstLine="0"/>
        <w:jc w:val="left"/>
        <w:rPr>
          <w:b/>
          <w:sz w:val="16"/>
        </w:rPr>
        <w:pStyle w:val="P68B1DB1-Normal22"/>
      </w:pPr>
      <w:r>
        <w:rPr>
          <w:color w:val="231F20"/>
          <w:spacing w:val="-2"/>
        </w:rPr>
        <w:t>数量折扣电话（603）456-2011或电子邮件</w:t>
      </w:r>
      <w:hyperlink r:id="rId17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7"/>
        </w:rPr>
      </w:pPr>
    </w:p>
    <w:p>
      <w:pPr>
        <w:pStyle w:val="BodyText"/>
        <w:spacing w:before="127"/>
        <w:rPr>
          <w:b/>
          <w:sz w:val="17"/>
        </w:rPr>
      </w:pPr>
    </w:p>
    <w:p>
      <w:pPr>
        <w:spacing w:before="0"/>
        <w:ind w:left="3165" w:right="0" w:firstLine="0"/>
        <w:jc w:val="left"/>
        <w:rPr>
          <w:rFonts w:ascii="Arial" w:hAnsi="Arial"/>
          <w:sz w:val="17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458584</wp:posOffset>
                </wp:positionH>
                <wp:positionV relativeFrom="paragraph">
                  <wp:posOffset>-207690</wp:posOffset>
                </wp:positionV>
                <wp:extent cx="1827530" cy="320675"/>
                <wp:effectExtent l="0" t="0" r="0" b="0"/>
                <wp:wrapNone/>
                <wp:docPr id="75" name="组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组75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6" name="图形76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图形77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图形78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z w:val="17"/>
        </w:rPr>
        <w:t xml:space="preserve">■电话：+86 755-8420 0058 ■传真：+86 755-2822 5583 ■</w:t>
      </w:r>
      <w:hyperlink r:id="rId18">
        <w:r>
          <w:rPr>
            <w:rFonts w:ascii="Arial" w:hAnsi="Arial"/>
            <w:sz w:val="17"/>
          </w:rPr>
          <w:t>E-mail:sales@eofirm.com</w:t>
        </w:r>
      </w:hyperlink>
      <w:r>
        <w:rPr>
          <w:rFonts w:ascii="Arial" w:hAnsi="Arial"/>
          <w:spacing w:val="-2"/>
          <w:sz w:val="17"/>
        </w:rPr>
        <w:t>■</w:t>
      </w:r>
      <w:hyperlink r:id="rId19">
        <w:r>
          <w:rPr>
            <w:rFonts w:ascii="Arial" w:hAnsi="Arial"/>
            <w:spacing w:val="-2"/>
            <w:sz w:val="17"/>
          </w:rPr>
          <w:t>http://www.eofirm.com</w:t>
        </w:r>
      </w:hyperlink>
    </w:p>
    <w:sectPr>
      <w:pgSz w:w="12240" w:h="15840"/>
      <w:pgMar w:top="28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34"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2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ListParagraph4">
    <w:name w:val="P68B1DB1-ListParagraph4"/>
    <w:basedOn w:val="ListParagraph"/>
    <w:rPr>
      <w:color w:val="231F20"/>
      <w:sz w:val="20"/>
    </w:rPr>
  </w:style>
  <w:style w:type="paragraph" w:styleId="P68B1DB1-Normal5">
    <w:name w:val="P68B1DB1-Normal5"/>
    <w:basedOn w:val="Normal"/>
    <w:rPr>
      <w:rFonts w:ascii="Tahoma"/>
      <w:color w:val="002A5C"/>
      <w:sz w:val="28"/>
    </w:rPr>
  </w:style>
  <w:style w:type="paragraph" w:styleId="P68B1DB1-ListParagraph6">
    <w:name w:val="P68B1DB1-ListParagraph6"/>
    <w:basedOn w:val="ListParagraph"/>
    <w:rPr>
      <w:color w:val="231F20"/>
      <w:spacing w:val="-2"/>
      <w:sz w:val="20"/>
    </w:rPr>
  </w:style>
  <w:style w:type="paragraph" w:styleId="P68B1DB1-Normal7">
    <w:name w:val="P68B1DB1-Normal7"/>
    <w:basedOn w:val="Normal"/>
    <w:rPr>
      <w:rFonts w:ascii="Tahoma"/>
      <w:color w:val="898A8D"/>
      <w:sz w:val="19"/>
    </w:rPr>
  </w:style>
  <w:style w:type="paragraph" w:styleId="P68B1DB1-Normal8">
    <w:name w:val="P68B1DB1-Normal8"/>
    <w:basedOn w:val="Normal"/>
    <w:rPr>
      <w:b/>
      <w:color w:val="FFFFFF"/>
      <w:spacing w:val="-10"/>
      <w:sz w:val="21"/>
    </w:rPr>
  </w:style>
  <w:style w:type="paragraph" w:styleId="P68B1DB1-Heading19">
    <w:name w:val="P68B1DB1-Heading19"/>
    <w:basedOn w:val="Heading1"/>
    <w:rPr>
      <w:color w:val="002A5C"/>
      <w:spacing w:val="-2"/>
      <w:w w:val="110"/>
    </w:rPr>
  </w:style>
  <w:style w:type="paragraph" w:styleId="P68B1DB1-Normal10">
    <w:name w:val="P68B1DB1-Normal10"/>
    <w:basedOn w:val="Normal"/>
    <w:rPr>
      <w:rFonts w:ascii="Tahoma"/>
      <w:color w:val="FFFFFF"/>
      <w:spacing w:val="-2"/>
      <w:sz w:val="36"/>
    </w:rPr>
  </w:style>
  <w:style w:type="paragraph" w:styleId="P68B1DB1-Normal11">
    <w:name w:val="P68B1DB1-Normal11"/>
    <w:basedOn w:val="Normal"/>
    <w:rPr>
      <w:color w:val="002A5C"/>
      <w:spacing w:val="-2"/>
      <w:w w:val="105"/>
      <w:sz w:val="32"/>
    </w:rPr>
  </w:style>
  <w:style w:type="paragraph" w:styleId="P68B1DB1-TableParagraph12">
    <w:name w:val="P68B1DB1-TableParagraph12"/>
    <w:basedOn w:val="TableParagraph"/>
    <w:rPr>
      <w:b/>
      <w:color w:val="FFFFFF"/>
      <w:spacing w:val="-2"/>
      <w:w w:val="105"/>
      <w:sz w:val="20"/>
    </w:rPr>
  </w:style>
  <w:style w:type="paragraph" w:styleId="P68B1DB1-TableParagraph13">
    <w:name w:val="P68B1DB1-TableParagraph13"/>
    <w:basedOn w:val="TableParagraph"/>
    <w:rPr>
      <w:b/>
      <w:color w:val="231F20"/>
      <w:w w:val="105"/>
      <w:sz w:val="16"/>
    </w:rPr>
  </w:style>
  <w:style w:type="paragraph" w:styleId="P68B1DB1-TableParagraph14">
    <w:name w:val="P68B1DB1-TableParagraph14"/>
    <w:basedOn w:val="TableParagraph"/>
    <w:rPr>
      <w:color w:val="231F20"/>
      <w:sz w:val="16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spacing w:val="-2"/>
      <w:sz w:val="16"/>
    </w:rPr>
  </w:style>
  <w:style w:type="paragraph" w:styleId="P68B1DB1-TableParagraph17">
    <w:name w:val="P68B1DB1-TableParagraph17"/>
    <w:basedOn w:val="TableParagraph"/>
    <w:rPr>
      <w:b/>
      <w:color w:val="231F20"/>
      <w:spacing w:val="-2"/>
      <w:w w:val="105"/>
      <w:sz w:val="16"/>
    </w:rPr>
  </w:style>
  <w:style w:type="paragraph" w:styleId="P68B1DB1-TableParagraph18">
    <w:name w:val="P68B1DB1-TableParagraph18"/>
    <w:basedOn w:val="TableParagraph"/>
    <w:rPr>
      <w:color w:val="231F20"/>
      <w:spacing w:val="-5"/>
      <w:sz w:val="16"/>
    </w:rPr>
  </w:style>
  <w:style w:type="paragraph" w:styleId="P68B1DB1-TableParagraph19">
    <w:name w:val="P68B1DB1-TableParagraph19"/>
    <w:basedOn w:val="TableParagraph"/>
    <w:rPr>
      <w:b/>
      <w:color w:val="FFFFFF"/>
      <w:spacing w:val="-2"/>
      <w:sz w:val="20"/>
    </w:rPr>
  </w:style>
  <w:style w:type="paragraph" w:styleId="P68B1DB1-TableParagraph20">
    <w:name w:val="P68B1DB1-TableParagraph20"/>
    <w:basedOn w:val="TableParagraph"/>
    <w:rPr>
      <w:color w:val="231F20"/>
      <w:spacing w:val="-4"/>
      <w:sz w:val="16"/>
    </w:rPr>
  </w:style>
  <w:style w:type="paragraph" w:styleId="P68B1DB1-TableParagraph21">
    <w:name w:val="P68B1DB1-TableParagraph21"/>
    <w:basedOn w:val="TableParagraph"/>
    <w:rPr>
      <w:color w:val="231F20"/>
      <w:spacing w:val="-5"/>
      <w:w w:val="105"/>
      <w:sz w:val="16"/>
    </w:rPr>
  </w:style>
  <w:style w:type="paragraph" w:styleId="P68B1DB1-Normal22">
    <w:name w:val="P68B1DB1-Normal22"/>
    <w:basedOn w:val="Normal"/>
    <w:rPr>
      <w:sz w:val="16"/>
    </w:rPr>
  </w:style>
  <w:style w:type="paragraph" w:styleId="P68B1DB1-Heading123">
    <w:name w:val="P68B1DB1-Heading123"/>
    <w:basedOn w:val="Heading1"/>
    <w:rPr>
      <w:color w:val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2024-10-24T02:11:18Z</dcterms:created>
  <dcterms:modified xsi:type="dcterms:W3CDTF">2024-10-24T02:11:18Z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15.0</vt:lpwstr>
  </property>
</Properties>
</file>